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FC3EF" w14:textId="5DF0E134" w:rsidR="00E43B26" w:rsidRDefault="00E43B26" w:rsidP="00E43B2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es-CL"/>
        </w:rPr>
      </w:pPr>
      <w:r>
        <w:rPr>
          <w:rFonts w:ascii="Calibri" w:eastAsia="Times New Roman" w:hAnsi="Calibri" w:cs="Calibri"/>
          <w:b/>
          <w:bCs/>
          <w:lang w:eastAsia="es-CL"/>
        </w:rPr>
        <w:t xml:space="preserve">Anexo </w:t>
      </w:r>
      <w:r w:rsidR="00694EA3">
        <w:rPr>
          <w:rFonts w:ascii="Calibri" w:eastAsia="Times New Roman" w:hAnsi="Calibri" w:cs="Calibri"/>
          <w:b/>
          <w:bCs/>
          <w:lang w:eastAsia="es-CL"/>
        </w:rPr>
        <w:t>5</w:t>
      </w:r>
      <w:r>
        <w:rPr>
          <w:rFonts w:ascii="Calibri" w:eastAsia="Times New Roman" w:hAnsi="Calibri" w:cs="Calibri"/>
          <w:b/>
          <w:bCs/>
          <w:lang w:eastAsia="es-CL"/>
        </w:rPr>
        <w:t>: Investigación de fuentes secundarias</w:t>
      </w:r>
    </w:p>
    <w:p w14:paraId="2FFC1BA5" w14:textId="77777777" w:rsidR="00E43B26" w:rsidRPr="00E43B26" w:rsidRDefault="00E43B26" w:rsidP="00E43B2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5505"/>
      </w:tblGrid>
      <w:tr w:rsidR="00E43B26" w:rsidRPr="00E43B26" w14:paraId="4EB9247F" w14:textId="77777777" w:rsidTr="00E43B26">
        <w:trPr>
          <w:trHeight w:val="300"/>
        </w:trPr>
        <w:tc>
          <w:tcPr>
            <w:tcW w:w="8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C9692" w14:textId="0230FF61" w:rsidR="00E43B26" w:rsidRPr="00E43B26" w:rsidRDefault="00E43B26" w:rsidP="00E43B26">
            <w:pPr>
              <w:spacing w:after="0" w:line="240" w:lineRule="auto"/>
              <w:jc w:val="center"/>
              <w:textAlignment w:val="baseline"/>
              <w:divId w:val="2094013463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b/>
                <w:bCs/>
                <w:lang w:eastAsia="es-CL"/>
              </w:rPr>
              <w:t>1.</w:t>
            </w:r>
            <w:r w:rsidR="00F1060D">
              <w:rPr>
                <w:rFonts w:ascii="Calibri" w:eastAsia="Times New Roman" w:hAnsi="Calibri" w:cs="Calibri"/>
                <w:b/>
                <w:bCs/>
                <w:lang w:eastAsia="es-CL"/>
              </w:rPr>
              <w:t xml:space="preserve"> </w:t>
            </w:r>
            <w:r w:rsidRPr="00E43B26">
              <w:rPr>
                <w:rFonts w:ascii="Calibri" w:eastAsia="Times New Roman" w:hAnsi="Calibri" w:cs="Calibri"/>
                <w:b/>
                <w:bCs/>
                <w:lang w:eastAsia="es-CL"/>
              </w:rPr>
              <w:t>Identificación</w:t>
            </w: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E43B26" w:rsidRPr="00E43B26" w14:paraId="0098E8D9" w14:textId="77777777" w:rsidTr="00E43B26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A0497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b/>
                <w:bCs/>
                <w:lang w:eastAsia="es-CL"/>
              </w:rPr>
              <w:t>Autor (es)</w:t>
            </w: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ED047" w14:textId="7F3BA84D" w:rsidR="00E43B26" w:rsidRPr="00E43B26" w:rsidRDefault="00E43B26" w:rsidP="00E43B2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E43B26" w:rsidRPr="00E43B26" w14:paraId="6CF947B3" w14:textId="77777777" w:rsidTr="00E43B26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97107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b/>
                <w:bCs/>
                <w:lang w:eastAsia="es-CL"/>
              </w:rPr>
              <w:t>Año de publicación</w:t>
            </w: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1C2C2" w14:textId="31538F04" w:rsidR="00E43B26" w:rsidRPr="00E43B26" w:rsidRDefault="00E43B26" w:rsidP="00E43B2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E43B26" w:rsidRPr="00E43B26" w14:paraId="6F97FF6B" w14:textId="77777777" w:rsidTr="00E43B26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099EC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b/>
                <w:bCs/>
                <w:lang w:eastAsia="es-CL"/>
              </w:rPr>
              <w:t>Título</w:t>
            </w: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DC694" w14:textId="38A3E385" w:rsidR="00E43B26" w:rsidRPr="00E43B26" w:rsidRDefault="00E43B26" w:rsidP="00E43B2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E43B26" w:rsidRPr="00E43B26" w14:paraId="7B63DDD7" w14:textId="77777777" w:rsidTr="00E43B26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E9C31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b/>
                <w:bCs/>
                <w:lang w:eastAsia="es-CL"/>
              </w:rPr>
              <w:t>Fuente</w:t>
            </w: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AC211" w14:textId="490A02C4" w:rsidR="00E43B26" w:rsidRPr="00E43B26" w:rsidRDefault="00E43B26" w:rsidP="00E43B2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E43B26" w:rsidRPr="00E43B26" w14:paraId="39CD85AB" w14:textId="77777777" w:rsidTr="00E43B26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26EE0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b/>
                <w:bCs/>
                <w:lang w:eastAsia="es-CL"/>
              </w:rPr>
              <w:t>Editorial o revista</w:t>
            </w: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46543" w14:textId="18CCD979" w:rsidR="00E43B26" w:rsidRPr="00E43B26" w:rsidRDefault="00E43B26" w:rsidP="00E43B2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E43B26" w:rsidRPr="00E43B26" w14:paraId="05F23B88" w14:textId="77777777" w:rsidTr="00E43B26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DD228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b/>
                <w:bCs/>
                <w:lang w:eastAsia="es-CL"/>
              </w:rPr>
              <w:t>Páginas</w:t>
            </w: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404A1" w14:textId="6C5977AC" w:rsidR="00E43B26" w:rsidRPr="00E43B26" w:rsidRDefault="00E43B26" w:rsidP="00E43B2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E43B26" w:rsidRPr="00E43B26" w14:paraId="7D3A99C3" w14:textId="77777777" w:rsidTr="00E43B26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275DF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b/>
                <w:bCs/>
                <w:lang w:eastAsia="es-CL"/>
              </w:rPr>
              <w:t>Referencia bibliográfica</w:t>
            </w: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0BEF5" w14:textId="51387D68" w:rsidR="00E43B26" w:rsidRPr="00E43B26" w:rsidRDefault="00E43B26" w:rsidP="00E43B2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14:paraId="4C29C919" w14:textId="77777777" w:rsidR="00E43B26" w:rsidRPr="00E43B26" w:rsidRDefault="00E43B26" w:rsidP="00E43B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E43B26">
        <w:rPr>
          <w:rFonts w:ascii="Calibri" w:eastAsia="Times New Roman" w:hAnsi="Calibri" w:cs="Calibri"/>
          <w:lang w:eastAsia="es-CL"/>
        </w:rPr>
        <w:t> </w:t>
      </w:r>
    </w:p>
    <w:tbl>
      <w:tblPr>
        <w:tblW w:w="88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</w:tblGrid>
      <w:tr w:rsidR="00E43B26" w:rsidRPr="00E43B26" w14:paraId="02D6059A" w14:textId="77777777" w:rsidTr="00E43B26">
        <w:trPr>
          <w:trHeight w:val="30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49646" w14:textId="54B12898" w:rsidR="00E43B26" w:rsidRPr="00E43B26" w:rsidRDefault="00E43B26" w:rsidP="00E43B26">
            <w:pPr>
              <w:spacing w:after="0" w:line="240" w:lineRule="auto"/>
              <w:jc w:val="center"/>
              <w:textAlignment w:val="baseline"/>
              <w:divId w:val="1018432761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b/>
                <w:bCs/>
                <w:lang w:eastAsia="es-CL"/>
              </w:rPr>
              <w:t>2. Palabras Clave</w:t>
            </w: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E43B26" w:rsidRPr="00E43B26" w14:paraId="461D77BC" w14:textId="77777777" w:rsidTr="00E43B26">
        <w:trPr>
          <w:trHeight w:val="30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A5EFF" w14:textId="77777777" w:rsidR="00E43B26" w:rsidRDefault="00E43B26" w:rsidP="00E43B2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s-CL"/>
              </w:rPr>
            </w:pPr>
          </w:p>
          <w:p w14:paraId="7F9CBD1B" w14:textId="77777777" w:rsidR="00E43B26" w:rsidRDefault="00E43B26" w:rsidP="00E43B2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s-CL"/>
              </w:rPr>
            </w:pPr>
          </w:p>
          <w:p w14:paraId="6394B1F0" w14:textId="77777777" w:rsidR="00E43B26" w:rsidRDefault="00E43B26" w:rsidP="00E43B2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s-CL"/>
              </w:rPr>
            </w:pPr>
          </w:p>
          <w:p w14:paraId="3D10BC88" w14:textId="3B0FAE0B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E43B26" w:rsidRPr="00E43B26" w14:paraId="27EEA0F9" w14:textId="77777777" w:rsidTr="00E43B26">
        <w:trPr>
          <w:trHeight w:val="30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74854" w14:textId="2B6F2ED4" w:rsidR="00E43B26" w:rsidRPr="00E43B26" w:rsidRDefault="00E43B26" w:rsidP="00E43B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b/>
                <w:bCs/>
                <w:lang w:eastAsia="es-CL"/>
              </w:rPr>
              <w:t>3. Resumen o sinopsis</w:t>
            </w: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E43B26" w:rsidRPr="00E43B26" w14:paraId="492D923B" w14:textId="77777777" w:rsidTr="00E43B26">
        <w:trPr>
          <w:trHeight w:val="30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23E03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5331AC7D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33B3287A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7B24ADD4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E43B26" w:rsidRPr="00E43B26" w14:paraId="303DD035" w14:textId="77777777" w:rsidTr="00E43B26">
        <w:trPr>
          <w:trHeight w:val="30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FB0C8" w14:textId="63644C29" w:rsidR="00E43B26" w:rsidRPr="00E43B26" w:rsidRDefault="00E43B26" w:rsidP="00E43B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b/>
                <w:bCs/>
                <w:lang w:eastAsia="es-CL"/>
              </w:rPr>
              <w:t>4. Ideas principales</w:t>
            </w: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E43B26" w:rsidRPr="00E43B26" w14:paraId="210BCB33" w14:textId="77777777" w:rsidTr="00E43B26">
        <w:trPr>
          <w:trHeight w:val="30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95C4B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3B067752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021C68F9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16F3C651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E43B26" w:rsidRPr="00E43B26" w14:paraId="1656E85C" w14:textId="77777777" w:rsidTr="00E43B26">
        <w:trPr>
          <w:trHeight w:val="30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F2FBA" w14:textId="19CAB63C" w:rsidR="00E43B26" w:rsidRPr="00E43B26" w:rsidRDefault="00E43B26" w:rsidP="00E43B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b/>
                <w:bCs/>
                <w:lang w:eastAsia="es-CL"/>
              </w:rPr>
              <w:t>5. Citas textuales relevantes</w:t>
            </w: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E43B26" w:rsidRPr="00E43B26" w14:paraId="5F31CA50" w14:textId="77777777" w:rsidTr="00E43B26">
        <w:trPr>
          <w:trHeight w:val="30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CD995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30D3D989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4A4D1D48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0B693C0F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E43B26" w:rsidRPr="00E43B26" w14:paraId="0B6359F7" w14:textId="77777777" w:rsidTr="00E43B26">
        <w:trPr>
          <w:trHeight w:val="30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B50B0" w14:textId="10BDE082" w:rsidR="00E43B26" w:rsidRPr="00E43B26" w:rsidRDefault="00E43B26" w:rsidP="00E43B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CL"/>
              </w:rPr>
              <w:t>6</w:t>
            </w:r>
            <w:r w:rsidRPr="00E43B26">
              <w:rPr>
                <w:rFonts w:ascii="Calibri" w:eastAsia="Times New Roman" w:hAnsi="Calibri" w:cs="Calibri"/>
                <w:b/>
                <w:bCs/>
                <w:lang w:eastAsia="es-CL"/>
              </w:rPr>
              <w:t>. Aplicación o relevanci</w:t>
            </w:r>
            <w:r w:rsidR="006C44C8">
              <w:rPr>
                <w:rFonts w:ascii="Calibri" w:eastAsia="Times New Roman" w:hAnsi="Calibri" w:cs="Calibri"/>
                <w:b/>
                <w:bCs/>
                <w:lang w:eastAsia="es-CL"/>
              </w:rPr>
              <w:t xml:space="preserve">a para el </w:t>
            </w:r>
            <w:r w:rsidR="00AA334C">
              <w:rPr>
                <w:rFonts w:ascii="Calibri" w:eastAsia="Times New Roman" w:hAnsi="Calibri" w:cs="Calibri"/>
                <w:b/>
                <w:bCs/>
                <w:lang w:eastAsia="es-CL"/>
              </w:rPr>
              <w:t>problema</w:t>
            </w:r>
          </w:p>
        </w:tc>
      </w:tr>
      <w:tr w:rsidR="00E43B26" w:rsidRPr="00E43B26" w14:paraId="034643EC" w14:textId="77777777" w:rsidTr="00E43B26">
        <w:trPr>
          <w:trHeight w:val="30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F0D07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0E23BD82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0C29D05D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3B2B32BD" w14:textId="77777777" w:rsidR="00E43B26" w:rsidRPr="00E43B26" w:rsidRDefault="00E43B26" w:rsidP="00E43B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43B2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</w:tbl>
    <w:p w14:paraId="78F94F5B" w14:textId="77777777" w:rsidR="00E43B26" w:rsidRDefault="00E43B26"/>
    <w:p w14:paraId="1A6807DA" w14:textId="77777777" w:rsidR="00E92D9D" w:rsidRDefault="00E92D9D"/>
    <w:p w14:paraId="79AD4ECC" w14:textId="77777777" w:rsidR="00E92D9D" w:rsidRDefault="00E92D9D"/>
    <w:p w14:paraId="1F9FF278" w14:textId="77777777" w:rsidR="00E92D9D" w:rsidRDefault="00E92D9D"/>
    <w:p w14:paraId="7DFA9BDA" w14:textId="77777777" w:rsidR="00E92D9D" w:rsidRDefault="00E92D9D"/>
    <w:p w14:paraId="530066FB" w14:textId="77777777" w:rsidR="00E92D9D" w:rsidRDefault="00E92D9D"/>
    <w:p w14:paraId="097D366F" w14:textId="668ADCD4" w:rsidR="00E92D9D" w:rsidRDefault="00E92D9D" w:rsidP="00E92D9D">
      <w:pPr>
        <w:jc w:val="center"/>
        <w:rPr>
          <w:b/>
          <w:bCs/>
        </w:rPr>
      </w:pPr>
      <w:r>
        <w:rPr>
          <w:b/>
          <w:bCs/>
        </w:rPr>
        <w:lastRenderedPageBreak/>
        <w:t>EJEMPLO</w:t>
      </w:r>
    </w:p>
    <w:tbl>
      <w:tblPr>
        <w:tblW w:w="9782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7229"/>
      </w:tblGrid>
      <w:tr w:rsidR="00700AB1" w:rsidRPr="00700AB1" w14:paraId="02E1E7AB" w14:textId="77777777" w:rsidTr="001A0185">
        <w:trPr>
          <w:trHeight w:val="300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634BC" w14:textId="5F5AA45B" w:rsidR="00767CE9" w:rsidRPr="00700AB1" w:rsidRDefault="00767CE9" w:rsidP="00C6335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s-CL"/>
              </w:rPr>
            </w:pPr>
            <w:r w:rsidRPr="00700AB1">
              <w:rPr>
                <w:rFonts w:eastAsia="Times New Roman" w:cstheme="minorHAnsi"/>
                <w:b/>
                <w:bCs/>
                <w:lang w:eastAsia="es-CL"/>
              </w:rPr>
              <w:t>1. Identificación</w:t>
            </w:r>
            <w:r w:rsidRPr="00700AB1">
              <w:rPr>
                <w:rFonts w:eastAsia="Times New Roman" w:cstheme="minorHAnsi"/>
                <w:lang w:eastAsia="es-CL"/>
              </w:rPr>
              <w:t> </w:t>
            </w:r>
          </w:p>
        </w:tc>
      </w:tr>
      <w:tr w:rsidR="00700AB1" w:rsidRPr="00700AB1" w14:paraId="1584E699" w14:textId="77777777" w:rsidTr="00EB355F">
        <w:trPr>
          <w:trHeight w:val="30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136A8" w14:textId="77777777" w:rsidR="00767CE9" w:rsidRPr="00700AB1" w:rsidRDefault="00767CE9" w:rsidP="00C6335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s-CL"/>
              </w:rPr>
            </w:pPr>
            <w:r w:rsidRPr="00700AB1">
              <w:rPr>
                <w:rFonts w:eastAsia="Times New Roman" w:cstheme="minorHAnsi"/>
                <w:b/>
                <w:bCs/>
                <w:lang w:eastAsia="es-CL"/>
              </w:rPr>
              <w:t>Autor (es)</w:t>
            </w:r>
            <w:r w:rsidRPr="00700AB1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A92F8" w14:textId="60D65D16" w:rsidR="00767CE9" w:rsidRPr="00700AB1" w:rsidRDefault="00D57C90" w:rsidP="00C6335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CL"/>
              </w:rPr>
            </w:pPr>
            <w:r w:rsidRPr="00700AB1">
              <w:rPr>
                <w:rFonts w:eastAsia="Times New Roman" w:cstheme="minorHAnsi"/>
                <w:lang w:eastAsia="es-CL"/>
              </w:rPr>
              <w:t>Juan Pablo Sánchez</w:t>
            </w:r>
            <w:r w:rsidR="00710C83" w:rsidRPr="00700AB1">
              <w:rPr>
                <w:rFonts w:eastAsia="Times New Roman" w:cstheme="minorHAnsi"/>
                <w:lang w:eastAsia="es-CL"/>
              </w:rPr>
              <w:t xml:space="preserve"> </w:t>
            </w:r>
            <w:r w:rsidRPr="00700AB1">
              <w:rPr>
                <w:rFonts w:eastAsia="Times New Roman" w:cstheme="minorHAnsi"/>
                <w:lang w:eastAsia="es-CL"/>
              </w:rPr>
              <w:t>Dom</w:t>
            </w:r>
            <w:r w:rsidR="001A0185">
              <w:rPr>
                <w:rFonts w:eastAsia="Times New Roman" w:cstheme="minorHAnsi"/>
                <w:lang w:eastAsia="es-CL"/>
              </w:rPr>
              <w:t>í</w:t>
            </w:r>
            <w:r w:rsidRPr="00700AB1">
              <w:rPr>
                <w:rFonts w:eastAsia="Times New Roman" w:cstheme="minorHAnsi"/>
                <w:lang w:eastAsia="es-CL"/>
              </w:rPr>
              <w:t xml:space="preserve">nguez, Teresa </w:t>
            </w:r>
            <w:r w:rsidR="001A0185">
              <w:rPr>
                <w:rFonts w:eastAsia="Times New Roman" w:cstheme="minorHAnsi"/>
                <w:lang w:eastAsia="es-CL"/>
              </w:rPr>
              <w:t>D</w:t>
            </w:r>
            <w:r w:rsidRPr="00700AB1">
              <w:rPr>
                <w:rFonts w:eastAsia="Times New Roman" w:cstheme="minorHAnsi"/>
                <w:lang w:eastAsia="es-CL"/>
              </w:rPr>
              <w:t>el Jesús Brito</w:t>
            </w:r>
            <w:r w:rsidR="00710C83" w:rsidRPr="00700AB1">
              <w:rPr>
                <w:rFonts w:eastAsia="Times New Roman" w:cstheme="minorHAnsi"/>
                <w:lang w:eastAsia="es-CL"/>
              </w:rPr>
              <w:t xml:space="preserve"> </w:t>
            </w:r>
            <w:r w:rsidR="00684AB6" w:rsidRPr="00700AB1">
              <w:rPr>
                <w:rFonts w:eastAsia="Times New Roman" w:cstheme="minorHAnsi"/>
                <w:lang w:eastAsia="es-CL"/>
              </w:rPr>
              <w:t>Cruz, Addy Leticia Zarza</w:t>
            </w:r>
            <w:r w:rsidR="00710C83" w:rsidRPr="00700AB1">
              <w:rPr>
                <w:rFonts w:eastAsia="Times New Roman" w:cstheme="minorHAnsi"/>
                <w:lang w:eastAsia="es-CL"/>
              </w:rPr>
              <w:t xml:space="preserve"> </w:t>
            </w:r>
            <w:r w:rsidR="00684AB6" w:rsidRPr="00700AB1">
              <w:rPr>
                <w:rFonts w:eastAsia="Times New Roman" w:cstheme="minorHAnsi"/>
                <w:lang w:eastAsia="es-CL"/>
              </w:rPr>
              <w:t xml:space="preserve">García, </w:t>
            </w:r>
            <w:r w:rsidR="00710C83" w:rsidRPr="00700AB1">
              <w:rPr>
                <w:rFonts w:eastAsia="Times New Roman" w:cstheme="minorHAnsi"/>
                <w:lang w:eastAsia="es-CL"/>
              </w:rPr>
              <w:t xml:space="preserve">Rafel Villanueva Echeverría, </w:t>
            </w:r>
            <w:r w:rsidR="00C91A86" w:rsidRPr="00700AB1">
              <w:rPr>
                <w:rFonts w:eastAsia="Times New Roman" w:cstheme="minorHAnsi"/>
                <w:lang w:eastAsia="es-CL"/>
              </w:rPr>
              <w:t>Gloria Esther Acevedo Olvera, Ángel Esteban Torres Zapata</w:t>
            </w:r>
          </w:p>
        </w:tc>
      </w:tr>
      <w:tr w:rsidR="00700AB1" w:rsidRPr="00700AB1" w14:paraId="2125BED1" w14:textId="77777777" w:rsidTr="00EB355F">
        <w:trPr>
          <w:trHeight w:val="30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F3F65" w14:textId="77777777" w:rsidR="00767CE9" w:rsidRPr="00700AB1" w:rsidRDefault="00767CE9" w:rsidP="00C6335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s-CL"/>
              </w:rPr>
            </w:pPr>
            <w:r w:rsidRPr="00700AB1">
              <w:rPr>
                <w:rFonts w:eastAsia="Times New Roman" w:cstheme="minorHAnsi"/>
                <w:b/>
                <w:bCs/>
                <w:lang w:eastAsia="es-CL"/>
              </w:rPr>
              <w:t>Año de publicación</w:t>
            </w:r>
            <w:r w:rsidRPr="00700AB1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FC7ED" w14:textId="66B0172C" w:rsidR="00767CE9" w:rsidRPr="00700AB1" w:rsidRDefault="00BC3E26" w:rsidP="00C6335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CL"/>
              </w:rPr>
            </w:pPr>
            <w:r w:rsidRPr="00700AB1">
              <w:rPr>
                <w:rFonts w:eastAsia="Times New Roman" w:cstheme="minorHAnsi"/>
                <w:lang w:eastAsia="es-CL"/>
              </w:rPr>
              <w:t>2025</w:t>
            </w:r>
          </w:p>
        </w:tc>
      </w:tr>
      <w:tr w:rsidR="00700AB1" w:rsidRPr="00700AB1" w14:paraId="28C0837F" w14:textId="77777777" w:rsidTr="00EB355F">
        <w:trPr>
          <w:trHeight w:val="30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62B19" w14:textId="77777777" w:rsidR="00767CE9" w:rsidRPr="00700AB1" w:rsidRDefault="00767CE9" w:rsidP="00C6335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s-CL"/>
              </w:rPr>
            </w:pPr>
            <w:r w:rsidRPr="00700AB1">
              <w:rPr>
                <w:rFonts w:eastAsia="Times New Roman" w:cstheme="minorHAnsi"/>
                <w:b/>
                <w:bCs/>
                <w:lang w:eastAsia="es-CL"/>
              </w:rPr>
              <w:t>Título</w:t>
            </w:r>
            <w:r w:rsidRPr="00700AB1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02963" w14:textId="50DD3331" w:rsidR="00767CE9" w:rsidRPr="00700AB1" w:rsidRDefault="00BC3E26" w:rsidP="00C6335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CL"/>
              </w:rPr>
            </w:pPr>
            <w:r w:rsidRPr="00700AB1">
              <w:rPr>
                <w:rFonts w:eastAsia="Times New Roman" w:cstheme="minorHAnsi"/>
                <w:lang w:eastAsia="es-CL"/>
              </w:rPr>
              <w:t xml:space="preserve">Estrés escolar, salud nutricional y rendimiento académico en estudiantes universitarios: </w:t>
            </w:r>
            <w:r w:rsidR="00FE21F2" w:rsidRPr="00700AB1">
              <w:rPr>
                <w:rFonts w:eastAsia="Times New Roman" w:cstheme="minorHAnsi"/>
                <w:lang w:eastAsia="es-CL"/>
              </w:rPr>
              <w:t>un estudio multicéntrico</w:t>
            </w:r>
          </w:p>
        </w:tc>
      </w:tr>
      <w:tr w:rsidR="00700AB1" w:rsidRPr="00B3465F" w14:paraId="6A1EB4EF" w14:textId="77777777" w:rsidTr="00EB355F">
        <w:trPr>
          <w:trHeight w:val="30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17261" w14:textId="77777777" w:rsidR="00767CE9" w:rsidRPr="00700AB1" w:rsidRDefault="00767CE9" w:rsidP="00C6335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s-CL"/>
              </w:rPr>
            </w:pPr>
            <w:r w:rsidRPr="00700AB1">
              <w:rPr>
                <w:rFonts w:eastAsia="Times New Roman" w:cstheme="minorHAnsi"/>
                <w:b/>
                <w:bCs/>
                <w:lang w:eastAsia="es-CL"/>
              </w:rPr>
              <w:t>Fuente</w:t>
            </w:r>
            <w:r w:rsidRPr="00700AB1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DEBE0" w14:textId="508B01ED" w:rsidR="00767CE9" w:rsidRPr="00B3465F" w:rsidRDefault="00510593" w:rsidP="00C6335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US" w:eastAsia="es-CL"/>
              </w:rPr>
            </w:pPr>
            <w:proofErr w:type="spellStart"/>
            <w:r w:rsidRPr="00B3465F">
              <w:rPr>
                <w:rFonts w:eastAsia="Times New Roman" w:cstheme="minorHAnsi"/>
                <w:lang w:val="en-US" w:eastAsia="es-CL"/>
              </w:rPr>
              <w:t>Scielo</w:t>
            </w:r>
            <w:proofErr w:type="spellEnd"/>
            <w:r w:rsidR="00C830A6" w:rsidRPr="00B3465F">
              <w:rPr>
                <w:rFonts w:eastAsia="Times New Roman" w:cstheme="minorHAnsi"/>
                <w:lang w:val="en-US" w:eastAsia="es-CL"/>
              </w:rPr>
              <w:t xml:space="preserve"> (Scientific Electronic Library Online)</w:t>
            </w:r>
          </w:p>
        </w:tc>
      </w:tr>
      <w:tr w:rsidR="00700AB1" w:rsidRPr="00700AB1" w14:paraId="0D6E2D18" w14:textId="77777777" w:rsidTr="00EB355F">
        <w:trPr>
          <w:trHeight w:val="30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01662" w14:textId="77777777" w:rsidR="00767CE9" w:rsidRPr="00700AB1" w:rsidRDefault="00767CE9" w:rsidP="00C6335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s-CL"/>
              </w:rPr>
            </w:pPr>
            <w:r w:rsidRPr="00700AB1">
              <w:rPr>
                <w:rFonts w:eastAsia="Times New Roman" w:cstheme="minorHAnsi"/>
                <w:b/>
                <w:bCs/>
                <w:lang w:eastAsia="es-CL"/>
              </w:rPr>
              <w:t>Editorial o revista</w:t>
            </w:r>
            <w:r w:rsidRPr="00700AB1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7741B" w14:textId="718DF14F" w:rsidR="00767CE9" w:rsidRPr="00700AB1" w:rsidRDefault="0078572E" w:rsidP="00C6335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CL"/>
              </w:rPr>
            </w:pPr>
            <w:r w:rsidRPr="00700AB1">
              <w:rPr>
                <w:rFonts w:eastAsia="Times New Roman" w:cstheme="minorHAnsi"/>
                <w:lang w:eastAsia="es-CL"/>
              </w:rPr>
              <w:t>Revista I</w:t>
            </w:r>
            <w:r w:rsidR="003C42AA">
              <w:rPr>
                <w:rFonts w:eastAsia="Times New Roman" w:cstheme="minorHAnsi"/>
                <w:lang w:eastAsia="es-CL"/>
              </w:rPr>
              <w:t>nveCom</w:t>
            </w:r>
          </w:p>
        </w:tc>
      </w:tr>
      <w:tr w:rsidR="00700AB1" w:rsidRPr="00700AB1" w14:paraId="64AF4BC0" w14:textId="77777777" w:rsidTr="00EB355F">
        <w:trPr>
          <w:trHeight w:val="30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499CE" w14:textId="77777777" w:rsidR="00767CE9" w:rsidRPr="00700AB1" w:rsidRDefault="00767CE9" w:rsidP="00C6335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s-CL"/>
              </w:rPr>
            </w:pPr>
            <w:r w:rsidRPr="00700AB1">
              <w:rPr>
                <w:rFonts w:eastAsia="Times New Roman" w:cstheme="minorHAnsi"/>
                <w:b/>
                <w:bCs/>
                <w:lang w:eastAsia="es-CL"/>
              </w:rPr>
              <w:t>Páginas</w:t>
            </w:r>
            <w:r w:rsidRPr="00700AB1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D547E" w14:textId="141B09C4" w:rsidR="00767CE9" w:rsidRPr="00700AB1" w:rsidRDefault="0078572E" w:rsidP="00C6335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CL"/>
              </w:rPr>
            </w:pPr>
            <w:r w:rsidRPr="00700AB1">
              <w:rPr>
                <w:rFonts w:eastAsia="Times New Roman" w:cstheme="minorHAnsi"/>
                <w:lang w:eastAsia="es-CL"/>
              </w:rPr>
              <w:t>11</w:t>
            </w:r>
          </w:p>
        </w:tc>
      </w:tr>
      <w:tr w:rsidR="00700AB1" w:rsidRPr="00700AB1" w14:paraId="17FDE284" w14:textId="77777777" w:rsidTr="00EB355F">
        <w:trPr>
          <w:trHeight w:val="30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9E6C2" w14:textId="77777777" w:rsidR="00767CE9" w:rsidRPr="00700AB1" w:rsidRDefault="00767CE9" w:rsidP="00C6335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s-CL"/>
              </w:rPr>
            </w:pPr>
            <w:r w:rsidRPr="00700AB1">
              <w:rPr>
                <w:rFonts w:eastAsia="Times New Roman" w:cstheme="minorHAnsi"/>
                <w:b/>
                <w:bCs/>
                <w:lang w:eastAsia="es-CL"/>
              </w:rPr>
              <w:t>Referencia bibliográfica</w:t>
            </w:r>
            <w:r w:rsidRPr="00700AB1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66A6F" w14:textId="0064832A" w:rsidR="00767CE9" w:rsidRPr="00700AB1" w:rsidRDefault="00700AB1" w:rsidP="00C6335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CL"/>
              </w:rPr>
            </w:pPr>
            <w:r w:rsidRPr="00700AB1">
              <w:t xml:space="preserve">Sánchez-Domínguez, J. P., Brito-Cruz, T. J., Zarza-García, A. L., Villanueva-Echavarría, R., Acevedo-Olvera, G. E., &amp; Torres-Zapata, Á. E. (2025). </w:t>
            </w:r>
            <w:r w:rsidRPr="00700AB1">
              <w:rPr>
                <w:rStyle w:val="nfasis"/>
              </w:rPr>
              <w:t>Estrés escolar, salud nutricional y rendimiento académico en estudiantes universitarios: un estudio multicéntrico</w:t>
            </w:r>
            <w:r w:rsidRPr="00700AB1">
              <w:t>. Revista científica</w:t>
            </w:r>
            <w:r w:rsidR="00983953">
              <w:t xml:space="preserve"> INVECOM</w:t>
            </w:r>
            <w:r w:rsidRPr="00700AB1">
              <w:t>.</w:t>
            </w:r>
          </w:p>
        </w:tc>
      </w:tr>
    </w:tbl>
    <w:p w14:paraId="0494351C" w14:textId="77777777" w:rsidR="00767CE9" w:rsidRDefault="00767CE9" w:rsidP="00F1060D">
      <w:pPr>
        <w:spacing w:after="0"/>
        <w:jc w:val="center"/>
        <w:rPr>
          <w:b/>
          <w:bCs/>
        </w:rPr>
      </w:pPr>
    </w:p>
    <w:tbl>
      <w:tblPr>
        <w:tblW w:w="9906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6"/>
      </w:tblGrid>
      <w:tr w:rsidR="00767CE9" w:rsidRPr="00C91A86" w14:paraId="16CC02F1" w14:textId="77777777" w:rsidTr="00F1060D">
        <w:trPr>
          <w:trHeight w:val="293"/>
        </w:trPr>
        <w:tc>
          <w:tcPr>
            <w:tcW w:w="9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F42A2" w14:textId="33601BB0" w:rsidR="00767CE9" w:rsidRPr="00C91A86" w:rsidRDefault="00767CE9" w:rsidP="001A01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CL"/>
              </w:rPr>
            </w:pPr>
            <w:r w:rsidRPr="00C91A86">
              <w:rPr>
                <w:rFonts w:ascii="Calibri" w:eastAsia="Times New Roman" w:hAnsi="Calibri" w:cs="Calibri"/>
                <w:b/>
                <w:bCs/>
                <w:lang w:eastAsia="es-CL"/>
              </w:rPr>
              <w:t>2. Palabras Clave</w:t>
            </w:r>
            <w:r w:rsidRPr="00C91A8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767CE9" w:rsidRPr="00C91A86" w14:paraId="4A97CDAD" w14:textId="77777777" w:rsidTr="00F1060D">
        <w:trPr>
          <w:trHeight w:val="293"/>
        </w:trPr>
        <w:tc>
          <w:tcPr>
            <w:tcW w:w="9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8A03A" w14:textId="400D3D64" w:rsidR="00767CE9" w:rsidRPr="001A0185" w:rsidRDefault="00542691" w:rsidP="001A01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s-CL"/>
              </w:rPr>
            </w:pPr>
            <w:r>
              <w:rPr>
                <w:rFonts w:ascii="Calibri" w:eastAsia="Times New Roman" w:hAnsi="Calibri" w:cs="Calibri"/>
                <w:lang w:eastAsia="es-CL"/>
              </w:rPr>
              <w:t>Estrés, rendimiento académico, salud nutricional</w:t>
            </w:r>
          </w:p>
        </w:tc>
      </w:tr>
      <w:tr w:rsidR="00767CE9" w:rsidRPr="00C91A86" w14:paraId="50918FF4" w14:textId="77777777" w:rsidTr="00F1060D">
        <w:trPr>
          <w:trHeight w:val="293"/>
        </w:trPr>
        <w:tc>
          <w:tcPr>
            <w:tcW w:w="9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A4262" w14:textId="0913069B" w:rsidR="00767CE9" w:rsidRPr="00C91A86" w:rsidRDefault="00767CE9" w:rsidP="001A01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CL"/>
              </w:rPr>
            </w:pPr>
            <w:r w:rsidRPr="00C91A86">
              <w:rPr>
                <w:rFonts w:ascii="Calibri" w:eastAsia="Times New Roman" w:hAnsi="Calibri" w:cs="Calibri"/>
                <w:b/>
                <w:bCs/>
                <w:lang w:eastAsia="es-CL"/>
              </w:rPr>
              <w:t>3. Resumen o sinopsis</w:t>
            </w:r>
            <w:r w:rsidRPr="00C91A8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767CE9" w:rsidRPr="00C91A86" w14:paraId="131D45FF" w14:textId="77777777" w:rsidTr="00F1060D">
        <w:trPr>
          <w:trHeight w:val="293"/>
        </w:trPr>
        <w:tc>
          <w:tcPr>
            <w:tcW w:w="9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C621F" w14:textId="5CC1DAF8" w:rsidR="00767CE9" w:rsidRPr="00C91A86" w:rsidRDefault="00767CE9" w:rsidP="001A01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s-CL"/>
              </w:rPr>
            </w:pPr>
            <w:r w:rsidRPr="00C91A86">
              <w:rPr>
                <w:rFonts w:ascii="Calibri" w:eastAsia="Times New Roman" w:hAnsi="Calibri" w:cs="Calibri"/>
                <w:lang w:eastAsia="es-CL"/>
              </w:rPr>
              <w:t> </w:t>
            </w:r>
            <w:r w:rsidR="00542691">
              <w:rPr>
                <w:rFonts w:ascii="Calibri" w:eastAsia="Times New Roman" w:hAnsi="Calibri" w:cs="Calibri"/>
                <w:lang w:eastAsia="es-CL"/>
              </w:rPr>
              <w:t>El estudio analiza la relación entre el estrés escolar, la salud nutricional y el rendimiento académico en estudiantes universitarios de primer año de nutrición en México. A través de un enfoque cuantitativo y correlacional con más de 1.300 estudiantes, se concluye que las relaciones entre estas variables son débiles, aunque el est</w:t>
            </w:r>
            <w:r w:rsidR="009D3B11">
              <w:rPr>
                <w:rFonts w:ascii="Calibri" w:eastAsia="Times New Roman" w:hAnsi="Calibri" w:cs="Calibri"/>
                <w:lang w:eastAsia="es-CL"/>
              </w:rPr>
              <w:t>rés tiene cierta influencia en el rendimiento académico. Se destaca la necesidad de implementar estrategias institucionales para mejorar el manejo del estrés y promover estilos de vida saludables.</w:t>
            </w:r>
          </w:p>
          <w:p w14:paraId="048F9394" w14:textId="08526914" w:rsidR="00767CE9" w:rsidRPr="00C91A86" w:rsidRDefault="00767CE9" w:rsidP="001A0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s-CL"/>
              </w:rPr>
            </w:pPr>
          </w:p>
        </w:tc>
      </w:tr>
      <w:tr w:rsidR="00767CE9" w:rsidRPr="00C91A86" w14:paraId="2629A2D6" w14:textId="77777777" w:rsidTr="00F1060D">
        <w:trPr>
          <w:trHeight w:val="293"/>
        </w:trPr>
        <w:tc>
          <w:tcPr>
            <w:tcW w:w="9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30813" w14:textId="39F12FB7" w:rsidR="00767CE9" w:rsidRPr="00C91A86" w:rsidRDefault="00767CE9" w:rsidP="001A01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CL"/>
              </w:rPr>
            </w:pPr>
            <w:r w:rsidRPr="00C91A86">
              <w:rPr>
                <w:rFonts w:ascii="Calibri" w:eastAsia="Times New Roman" w:hAnsi="Calibri" w:cs="Calibri"/>
                <w:b/>
                <w:bCs/>
                <w:lang w:eastAsia="es-CL"/>
              </w:rPr>
              <w:t>4. Ideas principales</w:t>
            </w:r>
            <w:r w:rsidRPr="00C91A8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767CE9" w:rsidRPr="00C91A86" w14:paraId="35CBF8E0" w14:textId="77777777" w:rsidTr="00F1060D">
        <w:trPr>
          <w:trHeight w:val="293"/>
        </w:trPr>
        <w:tc>
          <w:tcPr>
            <w:tcW w:w="9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8AEBB" w14:textId="3822E24E" w:rsidR="00767CE9" w:rsidRPr="002E6C34" w:rsidRDefault="00D32FE5" w:rsidP="00F1060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CL"/>
              </w:rPr>
            </w:pPr>
            <w:r w:rsidRPr="002E6C34">
              <w:rPr>
                <w:rFonts w:eastAsia="Times New Roman" w:cstheme="minorHAnsi"/>
                <w:lang w:eastAsia="es-CL"/>
              </w:rPr>
              <w:t>El estrés académico es alto en estudiantes universitarios.</w:t>
            </w:r>
          </w:p>
          <w:p w14:paraId="5296B858" w14:textId="41F4787A" w:rsidR="00D32FE5" w:rsidRPr="002E6C34" w:rsidRDefault="00D32FE5" w:rsidP="00F1060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CL"/>
              </w:rPr>
            </w:pPr>
            <w:r w:rsidRPr="002E6C34">
              <w:rPr>
                <w:rFonts w:eastAsia="Times New Roman" w:cstheme="minorHAnsi"/>
                <w:lang w:eastAsia="es-CL"/>
              </w:rPr>
              <w:t>El estrés puede afectar hábitos alimentarios y salud física.</w:t>
            </w:r>
          </w:p>
          <w:p w14:paraId="17BBC5C7" w14:textId="57ECC56B" w:rsidR="00D32FE5" w:rsidRPr="002E6C34" w:rsidRDefault="00D32FE5" w:rsidP="00F1060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CL"/>
              </w:rPr>
            </w:pPr>
            <w:r w:rsidRPr="002E6C34">
              <w:rPr>
                <w:rFonts w:eastAsia="Times New Roman" w:cstheme="minorHAnsi"/>
                <w:lang w:eastAsia="es-CL"/>
              </w:rPr>
              <w:t>E</w:t>
            </w:r>
            <w:r w:rsidR="002E6C34" w:rsidRPr="002E6C34">
              <w:rPr>
                <w:rFonts w:eastAsia="Times New Roman" w:cstheme="minorHAnsi"/>
                <w:lang w:eastAsia="es-CL"/>
              </w:rPr>
              <w:t>xiste una relación débil entre estrés, nutrición y rendimiento académico.</w:t>
            </w:r>
          </w:p>
          <w:p w14:paraId="647C76E8" w14:textId="52CE2685" w:rsidR="002E6C34" w:rsidRPr="002E6C34" w:rsidRDefault="002E6C34" w:rsidP="00F1060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CL"/>
              </w:rPr>
            </w:pPr>
            <w:r w:rsidRPr="002E6C34">
              <w:rPr>
                <w:rFonts w:eastAsia="Times New Roman" w:cstheme="minorHAnsi"/>
                <w:lang w:eastAsia="es-CL"/>
              </w:rPr>
              <w:t>El estrés moderado puede incluso mejorar el rendimiento académico.</w:t>
            </w:r>
          </w:p>
          <w:p w14:paraId="5828F1AA" w14:textId="44168DFE" w:rsidR="00767CE9" w:rsidRPr="002E6C34" w:rsidRDefault="002E6C34" w:rsidP="00F1060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CL"/>
              </w:rPr>
            </w:pPr>
            <w:r w:rsidRPr="002E6C34">
              <w:rPr>
                <w:rFonts w:eastAsia="Times New Roman" w:cstheme="minorHAnsi"/>
                <w:lang w:eastAsia="es-CL"/>
              </w:rPr>
              <w:t>Se requieren estrategias institucionales para mejorar bienestar y hábitos saludables.</w:t>
            </w:r>
          </w:p>
        </w:tc>
      </w:tr>
      <w:tr w:rsidR="00767CE9" w:rsidRPr="00C91A86" w14:paraId="37FDDE94" w14:textId="77777777" w:rsidTr="00F1060D">
        <w:trPr>
          <w:trHeight w:val="293"/>
        </w:trPr>
        <w:tc>
          <w:tcPr>
            <w:tcW w:w="9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7755A" w14:textId="74C05D4A" w:rsidR="00767CE9" w:rsidRPr="00C91A86" w:rsidRDefault="00767CE9" w:rsidP="001A01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CL"/>
              </w:rPr>
            </w:pPr>
            <w:r w:rsidRPr="00C91A86">
              <w:rPr>
                <w:rFonts w:ascii="Calibri" w:eastAsia="Times New Roman" w:hAnsi="Calibri" w:cs="Calibri"/>
                <w:b/>
                <w:bCs/>
                <w:lang w:eastAsia="es-CL"/>
              </w:rPr>
              <w:t>5. Citas textuales relevantes</w:t>
            </w:r>
            <w:r w:rsidRPr="00C91A8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767CE9" w:rsidRPr="00C91A86" w14:paraId="01F08391" w14:textId="77777777" w:rsidTr="00F1060D">
        <w:trPr>
          <w:trHeight w:val="293"/>
        </w:trPr>
        <w:tc>
          <w:tcPr>
            <w:tcW w:w="9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62E42" w14:textId="6A8ABD1E" w:rsidR="005152B9" w:rsidRPr="005152B9" w:rsidRDefault="005152B9" w:rsidP="00F1060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s-CL"/>
              </w:rPr>
            </w:pPr>
            <w:r>
              <w:t>El estrés escolar afecta la salud física, mental y nutricional de los estudiantes universitarios, influyendo en sus hábitos alimentarios y en su rendimiento académico. (Sánchez-Domínguez et al., 2025).</w:t>
            </w:r>
          </w:p>
          <w:p w14:paraId="74BC5639" w14:textId="682F9994" w:rsidR="00767CE9" w:rsidRPr="00691C11" w:rsidRDefault="00F172A8" w:rsidP="00F1060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s-CL"/>
              </w:rPr>
            </w:pPr>
            <w:r>
              <w:t>Los estudiantes universitarios son un grupo especialmente vulnerable, ya que enfrentan múltiples demandas académicas que pueden aumentar su nivel de estrés</w:t>
            </w:r>
            <w:r w:rsidR="005152B9">
              <w:t>.</w:t>
            </w:r>
            <w:r>
              <w:t xml:space="preserve"> (Silva-Ramos et al., 2020</w:t>
            </w:r>
            <w:r w:rsidR="00E35410">
              <w:t>, citado en Sánchez-Domínguez</w:t>
            </w:r>
            <w:r w:rsidR="00691C11">
              <w:t xml:space="preserve"> et al., 2025</w:t>
            </w:r>
            <w:r>
              <w:t>).</w:t>
            </w:r>
          </w:p>
          <w:p w14:paraId="7844C96E" w14:textId="7515B573" w:rsidR="00767CE9" w:rsidRPr="001A0185" w:rsidRDefault="001A0185" w:rsidP="00F1060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s-CL"/>
              </w:rPr>
            </w:pPr>
            <w:r>
              <w:t>Niveles elevados de estrés escolar pueden afectar negativamente los hábitos alimentarios y aumentar el índice de masa corporal, además de disminuir la concentración y el rendimiento académico (Silva-Ramos et al., 2020, citado en Sánchez-Domínguez et al., 2025).</w:t>
            </w:r>
          </w:p>
        </w:tc>
      </w:tr>
      <w:tr w:rsidR="00767CE9" w:rsidRPr="00C91A86" w14:paraId="642C1539" w14:textId="77777777" w:rsidTr="00F1060D">
        <w:trPr>
          <w:trHeight w:val="293"/>
        </w:trPr>
        <w:tc>
          <w:tcPr>
            <w:tcW w:w="9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3F5DF" w14:textId="12C7C99C" w:rsidR="00767CE9" w:rsidRPr="00C91A86" w:rsidRDefault="00767CE9" w:rsidP="001A01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CL"/>
              </w:rPr>
            </w:pPr>
            <w:r w:rsidRPr="00C91A86">
              <w:rPr>
                <w:rFonts w:ascii="Calibri" w:eastAsia="Times New Roman" w:hAnsi="Calibri" w:cs="Calibri"/>
                <w:b/>
                <w:bCs/>
                <w:lang w:eastAsia="es-CL"/>
              </w:rPr>
              <w:t>6. Aplicación o relevancia para el problema</w:t>
            </w:r>
          </w:p>
        </w:tc>
      </w:tr>
      <w:tr w:rsidR="00767CE9" w:rsidRPr="00C91A86" w14:paraId="706B0353" w14:textId="77777777" w:rsidTr="00F1060D">
        <w:trPr>
          <w:trHeight w:val="293"/>
        </w:trPr>
        <w:tc>
          <w:tcPr>
            <w:tcW w:w="9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44293" w14:textId="12DE0FA6" w:rsidR="00767CE9" w:rsidRPr="00C91A86" w:rsidRDefault="00767CE9" w:rsidP="00EB35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s-CL"/>
              </w:rPr>
            </w:pPr>
            <w:r w:rsidRPr="00C91A86">
              <w:rPr>
                <w:rFonts w:ascii="Calibri" w:eastAsia="Times New Roman" w:hAnsi="Calibri" w:cs="Calibri"/>
                <w:lang w:eastAsia="es-CL"/>
              </w:rPr>
              <w:t> </w:t>
            </w:r>
            <w:r w:rsidR="00CB2C87">
              <w:rPr>
                <w:rFonts w:ascii="Calibri" w:eastAsia="Times New Roman" w:hAnsi="Calibri" w:cs="Calibri"/>
                <w:lang w:eastAsia="es-CL"/>
              </w:rPr>
              <w:t>El estudio evidencia que el estrés y los hábitos influyen en la salud y el rendimiento de los estudiantes, demostrando que los problemas de salud no dependen solo del acceso a servicios, sino también de factores personales y contextuales. Esto refuerza la necesidad de implementar estrategias integrales que consideren el bienestar emocional y los estilos de vida para mejorar la salud en la población.</w:t>
            </w:r>
          </w:p>
        </w:tc>
      </w:tr>
    </w:tbl>
    <w:p w14:paraId="20ECC71C" w14:textId="77777777" w:rsidR="00767CE9" w:rsidRPr="00E92D9D" w:rsidRDefault="00767CE9" w:rsidP="00CB2C87">
      <w:pPr>
        <w:rPr>
          <w:b/>
          <w:bCs/>
        </w:rPr>
      </w:pPr>
    </w:p>
    <w:sectPr w:rsidR="00767CE9" w:rsidRPr="00E92D9D" w:rsidSect="00CB2C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413DF" w14:textId="77777777" w:rsidR="00D06B5A" w:rsidRDefault="00D06B5A" w:rsidP="009F603E">
      <w:pPr>
        <w:spacing w:after="0" w:line="240" w:lineRule="auto"/>
      </w:pPr>
      <w:r>
        <w:separator/>
      </w:r>
    </w:p>
  </w:endnote>
  <w:endnote w:type="continuationSeparator" w:id="0">
    <w:p w14:paraId="42DF0A39" w14:textId="77777777" w:rsidR="00D06B5A" w:rsidRDefault="00D06B5A" w:rsidP="009F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7AD4" w14:textId="77777777" w:rsidR="00B3465F" w:rsidRDefault="00B346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31E74" w14:textId="62E4B7E6" w:rsidR="00B3465F" w:rsidRDefault="00B3465F" w:rsidP="00B3465F">
    <w:pPr>
      <w:pStyle w:val="Piedepgina"/>
    </w:pPr>
  </w:p>
  <w:p w14:paraId="5B3FE827" w14:textId="77777777" w:rsidR="00B3465F" w:rsidRPr="00B3465F" w:rsidRDefault="00B3465F" w:rsidP="00B346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FBCE" w14:textId="77777777" w:rsidR="00B3465F" w:rsidRDefault="00B346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30346" w14:textId="77777777" w:rsidR="00D06B5A" w:rsidRDefault="00D06B5A" w:rsidP="009F603E">
      <w:pPr>
        <w:spacing w:after="0" w:line="240" w:lineRule="auto"/>
      </w:pPr>
      <w:r>
        <w:separator/>
      </w:r>
    </w:p>
  </w:footnote>
  <w:footnote w:type="continuationSeparator" w:id="0">
    <w:p w14:paraId="6D9241EA" w14:textId="77777777" w:rsidR="00D06B5A" w:rsidRDefault="00D06B5A" w:rsidP="009F6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3BB4" w14:textId="77777777" w:rsidR="00B3465F" w:rsidRDefault="00B346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42C3" w14:textId="4EF2305A" w:rsidR="00B3465F" w:rsidRDefault="00B3465F">
    <w:pPr>
      <w:pStyle w:val="Encabezado"/>
    </w:pPr>
    <w:r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ACD2D87" wp14:editId="6BB307B3">
          <wp:simplePos x="0" y="0"/>
          <wp:positionH relativeFrom="column">
            <wp:posOffset>2286000</wp:posOffset>
          </wp:positionH>
          <wp:positionV relativeFrom="paragraph">
            <wp:posOffset>810895</wp:posOffset>
          </wp:positionV>
          <wp:extent cx="6555105" cy="6167120"/>
          <wp:effectExtent l="0" t="0" r="0" b="252730"/>
          <wp:wrapNone/>
          <wp:docPr id="11722416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41633" name="Imagen 11722416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115218">
                    <a:off x="0" y="0"/>
                    <a:ext cx="6555105" cy="616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4DBDFAF" wp14:editId="6EECD1BB">
          <wp:simplePos x="0" y="0"/>
          <wp:positionH relativeFrom="margin">
            <wp:posOffset>-1082040</wp:posOffset>
          </wp:positionH>
          <wp:positionV relativeFrom="page">
            <wp:posOffset>-635</wp:posOffset>
          </wp:positionV>
          <wp:extent cx="7890510" cy="891540"/>
          <wp:effectExtent l="0" t="0" r="0" b="0"/>
          <wp:wrapSquare wrapText="bothSides"/>
          <wp:docPr id="17506060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606051" name="Imagen 17506060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51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C7E7" w14:textId="77777777" w:rsidR="00B3465F" w:rsidRDefault="00B346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751CF"/>
    <w:multiLevelType w:val="hybridMultilevel"/>
    <w:tmpl w:val="44DAC228"/>
    <w:lvl w:ilvl="0" w:tplc="3BE050AC">
      <w:start w:val="4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26"/>
    <w:rsid w:val="00002DDC"/>
    <w:rsid w:val="000C2CB2"/>
    <w:rsid w:val="001A0185"/>
    <w:rsid w:val="002E6C34"/>
    <w:rsid w:val="003952C7"/>
    <w:rsid w:val="003C42AA"/>
    <w:rsid w:val="00510593"/>
    <w:rsid w:val="005152B9"/>
    <w:rsid w:val="00542691"/>
    <w:rsid w:val="005867D5"/>
    <w:rsid w:val="00684AB6"/>
    <w:rsid w:val="00691C11"/>
    <w:rsid w:val="00694EA3"/>
    <w:rsid w:val="006C44C8"/>
    <w:rsid w:val="00700AB1"/>
    <w:rsid w:val="00710C83"/>
    <w:rsid w:val="00767CE9"/>
    <w:rsid w:val="0078572E"/>
    <w:rsid w:val="0080675A"/>
    <w:rsid w:val="00983953"/>
    <w:rsid w:val="009D3B11"/>
    <w:rsid w:val="009D6F59"/>
    <w:rsid w:val="009F603E"/>
    <w:rsid w:val="00A94739"/>
    <w:rsid w:val="00AA334C"/>
    <w:rsid w:val="00B3465F"/>
    <w:rsid w:val="00B76148"/>
    <w:rsid w:val="00BC3E26"/>
    <w:rsid w:val="00C830A6"/>
    <w:rsid w:val="00C91A86"/>
    <w:rsid w:val="00CB2C87"/>
    <w:rsid w:val="00D06B5A"/>
    <w:rsid w:val="00D32FE5"/>
    <w:rsid w:val="00D57C90"/>
    <w:rsid w:val="00E35410"/>
    <w:rsid w:val="00E43B26"/>
    <w:rsid w:val="00E92D9D"/>
    <w:rsid w:val="00EB355F"/>
    <w:rsid w:val="00F1060D"/>
    <w:rsid w:val="00F172A8"/>
    <w:rsid w:val="00FE21F2"/>
    <w:rsid w:val="423322DF"/>
    <w:rsid w:val="5B5558A2"/>
    <w:rsid w:val="6266E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B407F"/>
  <w15:chartTrackingRefBased/>
  <w15:docId w15:val="{1F2B37B6-D7F5-45D0-B307-EF7DC3E2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4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E43B26"/>
  </w:style>
  <w:style w:type="character" w:customStyle="1" w:styleId="eop">
    <w:name w:val="eop"/>
    <w:basedOn w:val="Fuentedeprrafopredeter"/>
    <w:rsid w:val="00E43B26"/>
  </w:style>
  <w:style w:type="paragraph" w:styleId="Encabezado">
    <w:name w:val="header"/>
    <w:basedOn w:val="Normal"/>
    <w:link w:val="EncabezadoCar"/>
    <w:uiPriority w:val="99"/>
    <w:unhideWhenUsed/>
    <w:rsid w:val="009F60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603E"/>
  </w:style>
  <w:style w:type="paragraph" w:styleId="Piedepgina">
    <w:name w:val="footer"/>
    <w:basedOn w:val="Normal"/>
    <w:link w:val="PiedepginaCar"/>
    <w:uiPriority w:val="99"/>
    <w:unhideWhenUsed/>
    <w:rsid w:val="009F60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03E"/>
  </w:style>
  <w:style w:type="character" w:styleId="nfasis">
    <w:name w:val="Emphasis"/>
    <w:basedOn w:val="Fuentedeprrafopredeter"/>
    <w:uiPriority w:val="20"/>
    <w:qFormat/>
    <w:rsid w:val="00700AB1"/>
    <w:rPr>
      <w:i/>
      <w:iCs/>
    </w:rPr>
  </w:style>
  <w:style w:type="paragraph" w:styleId="Prrafodelista">
    <w:name w:val="List Paragraph"/>
    <w:basedOn w:val="Normal"/>
    <w:uiPriority w:val="34"/>
    <w:qFormat/>
    <w:rsid w:val="00D32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14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5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8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7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8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2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4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2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6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3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5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7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5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35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8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0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0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Catolica del Maule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J. Contreras Hernández</dc:creator>
  <cp:keywords/>
  <dc:description/>
  <cp:lastModifiedBy>Enyel K. Rodriguez Veloso</cp:lastModifiedBy>
  <cp:revision>4</cp:revision>
  <dcterms:created xsi:type="dcterms:W3CDTF">2026-05-28T16:09:00Z</dcterms:created>
  <dcterms:modified xsi:type="dcterms:W3CDTF">2026-05-29T14:38:00Z</dcterms:modified>
</cp:coreProperties>
</file>